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Приложение 1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к приказу №23/08/31  от 31.08.2023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«О внесении изменений  в прейскурант цен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 медицинские услуги»</w:t>
      </w:r>
      <w:r>
        <w:br w:type="page"/>
      </w:r>
    </w:p>
    <w:tbl>
      <w:tblPr>
        <w:tblpPr w:bottomFromText="0" w:horzAnchor="margin" w:leftFromText="180" w:rightFromText="180" w:tblpX="-937" w:tblpY="1582" w:topFromText="0" w:vertAnchor="page"/>
        <w:tblW w:w="5000" w:type="pct"/>
        <w:jc w:val="left"/>
        <w:tblInd w:w="58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6240"/>
        <w:gridCol w:w="1183"/>
        <w:gridCol w:w="790"/>
        <w:gridCol w:w="1708"/>
      </w:tblGrid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ind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ПРЕЙСКУРАНТ НА услугИ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ВНутрен. код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Код номенклатуры МУ</w:t>
            </w:r>
          </w:p>
        </w:tc>
      </w:tr>
      <w:tr>
        <w:trPr>
          <w:trHeight w:val="340" w:hRule="atLeast"/>
        </w:trPr>
        <w:tc>
          <w:tcPr>
            <w:tcW w:w="9921" w:type="dxa"/>
            <w:gridSpan w:val="4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2EAF1" w:themeFill="accent5" w:themeFillTint="3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КОНСУЛЬТАЦИИ, Диагностика, ОБСЛЕДОВАНИЯ</w:t>
            </w:r>
          </w:p>
        </w:tc>
      </w:tr>
      <w:tr>
        <w:trPr>
          <w:trHeight w:val="480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Прием  врача-офтальмолога первичный (устная консультация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на основании данных, предоставленных пациентом (без осмотра) или данных текущего обследования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>
          <w:trHeight w:val="480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Прием (осмотр, консультация) врача-офтальмолога первичный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ребенка до 18 лет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Д-1/3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>
          <w:trHeight w:val="480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Прием (осмотр, консультация) врача-офтальмолога повторный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ребенка до 18 лет в течение 3 месяца по прежнему диагнозу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Д-1/4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(базовый - определение рефракции, проверка остроты зрения с коррекцией и без, измерение внутриглазного давления, биомикроскопия, осмотр глазного дна),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первичный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bookmarkStart w:id="0" w:name="__DdeLink__1499_3368530935"/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  <w:bookmarkEnd w:id="0"/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с 3 лет до 18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первичный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до 3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первичный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с 3 лет до 18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врача-офтальмолога, к.м.н. первичный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до 3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врача-офтальмолога, к.м.н. первичный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до 18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повторный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(по прежнему диагнозу до 12 месяцев)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до 18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врача-офтальмолога, к.м.н. повторный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(по прежнему диагнозу до 12 месяцев)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Д-2/2/1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-Комплекс исследований для диагностики нарушения зрения у детей  до 3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врача-офтальмолога, к.м.н. повторный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(по прежнему диагнозу до 12 месяцев)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Д-2/2/2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у детей  до 3 лет,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повторный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(по прежнему диагнозу до 12 месяцев)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Д-2/2/3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670" w:firstLine="768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Профилактический прием (осмотр, консультация) врача-офтальмолога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у детей  до 18 лет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(для лазерной коррекции, включая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оптическое исследование переднего отдела глаза с помощью компьютерного анализатора,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видеокератотопографию),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первичный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 исследований для диагностики нарушения зрения (для лазерной коррекции, включая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оптическое исследование переднего отдела глаза с помощью компьютерного анализатора,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видеокератотопографию),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прием (осмотр, консультация) врача-офтальмолога первичный, к.м.н. Фиронов Д.В.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Оптическая и ультразвуковая биометрия глаза (дополнительное обследование органа зрения при катаракте - расчет ИОЛ)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А05.26.007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А04.26.004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Комплекс исследований для диагностики глаукомы (комплекс исследований базовый, ОКТ ДЗН и макулы, компьютерная периметрия, гониоскопия, консультация врача)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Комплекс исследований для диагностики глаукомы (диспансерное наблюдение по глаукоме 1 раз в 3 месяца, консультация врача, острота зрения, внутриглазное давление)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Д-5/1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В03.029.002</w:t>
            </w:r>
          </w:p>
        </w:tc>
      </w:tr>
      <w:tr>
        <w:trPr>
          <w:trHeight w:val="286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Визометрия + определение рефракции с помощью набора пробных линз (определение остроты зрения с коррекцией и без)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А02.26.013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Компьютерная периметрия (исследование полей зрения),по направлению доктора «Мединвест», 2 глаза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Д-7/1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А03.26.020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Компьютерная периметрия (исследование полей зрения) по направлению из другой клиники, 2 глаза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А03.26.020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Периметрия статическая (исследование полей зрения на периметре Фёрстера)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Д-8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А02.26.005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Офтальмотонометрия   (контактная)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А02.26.015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Офтальмотонометрия   (бесконтактная)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А02.26.015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Биомикроскопия глаза (выполняется совместно с консультацией врача-офтальмолога)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A03.26.001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Биомикрофотография глаза и его придаточного аппарата на фотощелевой лампе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Dixion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Д-11/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A03.26.00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Визометрия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А02.26.004</w:t>
            </w:r>
          </w:p>
        </w:tc>
      </w:tr>
      <w:tr>
        <w:trPr>
          <w:trHeight w:val="187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Гониоскопия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Биомикроскопия глазного дна</w:t>
            </w:r>
          </w:p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Локализация разрывов, инородных тел сетчатки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Офтальмоскопия (выполняется совместно с консультацией врача-офтальмолога)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А03.26.018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А03.26.017 А02.26.003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УЗ биометрия глаза (расчет ИОЛ)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А04.26.004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Оптическая биометрия у детей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Д-16/1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А05.26.007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Видеокератопография 2 гл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Д-18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Видеокератопография на приборе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Medmont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 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Д-18/1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Афторефрактометрия с узким зрачком 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Офтальмометрия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А03.26.009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Афторефрактометрия  с узким зрачком (бесконтактная аппаратом 2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WIN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Д-19/1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А12.26.016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Кератопахометрия (Измерение толщины роговицы) 1 гл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А03.26.011</w:t>
            </w:r>
          </w:p>
        </w:tc>
      </w:tr>
      <w:tr>
        <w:trPr/>
        <w:tc>
          <w:tcPr>
            <w:tcW w:w="9921" w:type="dxa"/>
            <w:gridSpan w:val="4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Оптическое исследование отделов глаза с помощью компьютерного анализатора 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Оптическая когерентная томография (ОКТ)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Оптическое исследование головки зрительного нерва и слоя нервных волокон с помощью компьютерного анализатора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(ОКТ при глаукоме)  2 глаза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Оптическое исследование головки зрительного нерва и слоя нервных волокон с помощью компьютерного анализатора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(ОКТ при глаукоме) 1 глаз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сетчатки с помощью компьютерного анализатора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ОКТ сетчатки  2 глаза)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сетчатки с помощью компьютерного анализатора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ОКТ сетчатки  1 глаз)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переднего отдела глаза с помощью компьютерного анализатора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ОКТ переднего отрезка глаза 2 глаза)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переднего отдела глаза с помощью компьютерного анализатора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ОКТ переднего отрезка глаза 1 глаз)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А03.26.019.001 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головки зрительного нерва и слоя нервных волокон, сетчатки, переднего отдела глаза с помощью компьютерного анализатора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(ОКТ полная 2 гл.)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 А03.26.019.003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Оптическое исследование головки зрительного нерва и слоя нервных волокон, сетчатки, переднего отдела глаза с помощью компьютерного анализатора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(ОКТ полная 1 гл.)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Д-28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А03.26.019.001 А03.26.019.003</w:t>
            </w:r>
          </w:p>
        </w:tc>
      </w:tr>
      <w:tr>
        <w:trPr>
          <w:trHeight w:val="340" w:hRule="atLeast"/>
        </w:trPr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плановое послеоперационное, постманипуляционное наблюдение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 прежнему диагнозу после лазерной коррекции зрения (все коды Л и Т- 1,2), до 1 месяца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Диспансерный прием (осмотр, консультация) врача-офтальмолога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по прежнему диагнозу после операции по удалению катаракты (все коды МХ-1-10), до 3 месяцев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Д-29/1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 прежнему диагнозу после подбора ОКЛ до 6 месяцев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Д-29/2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 прежнему диагнозу после лазерной коррекции зрения и операции по удалению катаракты (все коды Л;  МХ-1-10 и Т- 1,2), по истечении 6 месяцев и до 3 лет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по прежнему диагнозу после антиглаукоматозной операции (коды МХ-11, 12),  до 6 месяцев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 прежнему диагнозу после антиглаукоматозной операции (коды МХ-11, 12) от 6 до 18 месяцев (далее, как первичный)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по прежнему диагнозу после манипуляций (коды Т-3-13), проведенных в нашей клинике, до 2 месяцев (далее, как первичный)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Д- 34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Прием (осмотр, консультация) врача  офтальмолога повторный по прежнему диагнозу после назначенного лечения до 2 месяцев (далее, как первичный)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Д-35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В01.029.002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Тест Ширмера +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Флюоресцеиновая инстилляционная проба (диагностика сухого глаза)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А02.26.020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А02.26.018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Подбор очковой коррекции зрения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Д-37/2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А23.26.001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контактной коррекции зрения ( консультация врача офтальмолога по подбору, ношению и  уходу за контактными линзами)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контактной коррекции зрения (индивидуальная МКЛ для контроля миопии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Esencia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Д-38/1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контактной коррекции зрения  (индивидуальная МКЛ для контроля миопии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Esencia Toric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Д-38/1/2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контактной коррекции зрения  (индивидуальная МКЛ ADVANCE, гидрогелевая, 1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Д-38/2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Подбор контактной коррекции зрения  (индивидуальной МКЛ ADVANCE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Toric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, гидрогелевая, 1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Д-38/2/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(первичный, диагностическое обследование для подбора ОК-линзам, 2глаза)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(Установка готовой индивидуальной ОК-линзы класса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Standsrt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100 ), обучение по использованию),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 течение первых 6ти месяцев использования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(Установка готовой индивидуальной ОК-линзы  класса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Premium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180), обучение по использованию),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диспансерный прием (осмотр, консультация) врача-офтальмолога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 течение первых 6ти месяцев использования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В04.029.001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(повторный, по истечению года использования)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Д-41/4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(повторный подбор и установка ОК-линзы класса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Standart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в течение года использования в случае поломки или потери, 1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Д-41/5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Подбор ортокератологических линз (повторный подбор и установка ОК-линзы класса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Premium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в течение года использования в случае поломки или потери, 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глаз)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Д-41/6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А23.26.002.001</w:t>
            </w:r>
          </w:p>
        </w:tc>
      </w:tr>
      <w:tr>
        <w:trPr/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манипуляции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Пара- и ретробульбарная или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субконъюнктивальная инъекция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А11.26.011 А11.26.016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Пара- и ретробульбарная инъекция с введением ГКС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А11.26.011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Промывание слезных путей  1 гл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А11.26.004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Промывание слезных путей  2 гл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М-2/1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А11.26.004</w:t>
            </w:r>
          </w:p>
        </w:tc>
      </w:tr>
      <w:tr>
        <w:trPr>
          <w:trHeight w:val="224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Массаж век медицинский 1 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А21.26.001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Введение воздуха или лекарственных препаратов в камеры глаза (</w:t>
            </w:r>
            <w:r>
              <w:rPr>
                <w:rStyle w:val="Ngbinding"/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Инъекция в субтеноновое пространство 1 глаз)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А11.26.012</w:t>
            </w:r>
          </w:p>
        </w:tc>
      </w:tr>
      <w:tr>
        <w:trPr>
          <w:trHeight w:val="257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Интравитреальное введение лекарственных препаратов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А16.26.086.001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Интравитреальное введение лекарственных препаратов (препарат «Эйлеа», афлибериепт) (1 инъекция)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А16.26.086.001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Интравитреальное введение лекарственных препаратов (имплант «Озурдекс»,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микронизированный дексаметазон)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(1 инъекция)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М-8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А16.26.086.001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Инъекционное введение лекарственных препаратов в очаг поражения кожи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(введение ГКС в халязион)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А11.01.010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Эпиляция ресниц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неправильно растущих ресниц)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А16.26.018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Зондирование слезно-носового канала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 детей (с двух сторон)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11.26.005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Зондирование слезно-носового канала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 детей (с одной стороны)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М-11/1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11.26.005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Интубация слезных протоков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временный окклюдер слезных протоков, 1пара)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М-12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А16.26.007.002</w:t>
            </w:r>
          </w:p>
        </w:tc>
      </w:tr>
      <w:tr>
        <w:trPr/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ЭКСИМЕРЛАЗЕРНЫЕ операциИ кандидат медицинских наук Фиронов д.в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(лазик/ </w:t>
            </w: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сочетании близорукости или дальнозоркости с астигматизмом (к общей стоимости операции коды Л-2-9 + Л-1)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Л-1/1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   до -3.0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Л-2/1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от -3.25 до -6.0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Л-3/1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от -6.25 до - 12.0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Л-4/1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 от -12.25 Д и более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Л-5/1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дальнозоркости      до + 3.0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Л-6/1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дальнозоркости       от +3.25 до + 4.0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Л-7/1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ЭКСИМЕРЛАЗЕРНАЯ фоторефракционная кератэктомия (фрк)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до - 5.0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Л-9/1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А16.26.046.002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ЭКСИМЕРЛАЗЕРНАЯ фототерапевтическая кератэктомия (фтк)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Л-10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А16.26.046.001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ЭКСИМЕРЛАЗЕРНЫЕ операциИ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лАЗЕРНЫЙ ИНТРАСТРОМАЛЬНЫЙ кератомилез (лазик/</w:t>
            </w: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 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сочетании близорукости или дальнозоркости с астигматизмом (к общей стоимости операции коды Л-2-9 + Л-1)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   до -3.0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от -3.25 до -6.0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от -6.25 до - 12.0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Л-4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близорукости           от -12.25 Д и более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Л-5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дальнозоркости      до + 3.0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(лазик)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при дальнозоркости       от +3.25 до + 4.0 Д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32900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ЭКСИМЕРЛАЗЕРНАЯ фоторефракционная кератэктомия (фрк)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до- 5.0 д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Л-9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А16.26.046.002</w:t>
            </w:r>
          </w:p>
        </w:tc>
      </w:tr>
      <w:tr>
        <w:trPr/>
        <w:tc>
          <w:tcPr>
            <w:tcW w:w="9921" w:type="dxa"/>
            <w:gridSpan w:val="4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EE6E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к.м.н. Фиронов Д.В.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до -3.0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-3.25 до -6.0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-6.25 до - 12.0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-12.25 Д и более)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9921" w:type="dxa"/>
            <w:gridSpan w:val="4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EE6E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Торхова Е.Н.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до -3.0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Ф-1/1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-3.25 до -6.0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Ф-2/1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-6.25 до - 12.0 Д)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Ф-3/1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 xml:space="preserve">лаЗЕРНЫЙ ИНТРАСТРОМАЛЬНЫЙ кератомилез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 использованием фемтосекундного лазера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FemtoLASIK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 близорукости  от -12.25 Д и более)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Ф-4/1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А16.26.047</w:t>
            </w:r>
          </w:p>
        </w:tc>
      </w:tr>
      <w:tr>
        <w:trPr/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  <w:t>МИКРОХИРУРГИЧЕСКИЕ ОПЕРАЦИи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jc w:val="center"/>
              <w:textAlignment w:val="baseline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МХ-1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</w:t>
            </w:r>
          </w:p>
        </w:tc>
      </w:tr>
      <w:tr>
        <w:trPr/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  <w:t>факоэмульсификация с имплантацией интраокулярной линзы (иол) – операция  при катаракте с заменой хрусталика НА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  <w:t>мягкУЮ  монофокальнУЮ Иол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textAlignment w:val="baseline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мягкой ИОЛ «Akr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МA» CША на афакичном глазу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МХ-2/1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  ИОЛ  моноблочной монофокальной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 SA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60АТ «Алкон»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ферической ,предустановленной  Н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oyaIsert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150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MX-3/1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Факоэмульсификацияс имплантацией  трехчастной монофокальной ИОЛ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 MN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«Алкон»(США) с подшиванием (осложненные случаи по показаниям врача)   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ИОЛ асферической монофокальной 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желтым фильтром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Natural SN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 «Алкон» (США) (при высоких степенях дальнозоркости)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ИОЛ акриловой гидрофобной  МИОЛ-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SOFT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-2-13(набор РПР-4), Россия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МХ-5/1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>
          <w:trHeight w:val="340" w:hRule="atLeast"/>
        </w:trPr>
        <w:tc>
          <w:tcPr>
            <w:tcW w:w="8213" w:type="dxa"/>
            <w:gridSpan w:val="3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aps/>
                <w:color w:val="000000" w:themeColor="text1"/>
                <w:sz w:val="20"/>
                <w:szCs w:val="20"/>
              </w:rPr>
              <w:t>мягкие монофокальные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ВЫСОКОТЕХНОЛОГИЧЕСКИЕ (ПРЕМИУМ) ИОЛ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асферической монофокальной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IQSN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60WF /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6СWS «Алкон» 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 ИОЛ  монофокальной асферической, желтая, гидрофильной,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Aspira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aFY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, «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HumanOptics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МХ-6/1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асферической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Akreos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AdvancedOptics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,  Baush&amp;Lomb 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MX-6/2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>
          <w:trHeight w:val="400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 ИОЛ монофокальной 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ClareonWW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, «Алкон»  (США)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МХ-6/3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56000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>
          <w:trHeight w:val="400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монофокальной асферической (желтой), гидрофильной,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TORICA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aAY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HumanOptics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МХ-6/4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64300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>
          <w:trHeight w:val="400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монофокальной торической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ClareonToricCNW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2-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МХ-6/5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74500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ИОЛ  торической   монофокальной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Toric SN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2-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9  «Алкон»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для задней камеры глаза псевдофакичной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enVistatoric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МХ-7/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63600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для задней камеры глаза псевдофакичной 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enVistaMX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МХ-7/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46000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катаракты с имплантацией ИОЛ Rayner RayOne Toric, Великобритания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МХ-20/1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</w:rPr>
              <w:t>А16.26.093.002</w:t>
            </w:r>
          </w:p>
        </w:tc>
      </w:tr>
      <w:tr>
        <w:trPr>
          <w:trHeight w:val="442" w:hRule="atLeast"/>
        </w:trPr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мягкие  мультифокальные  Иол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 ИОЛ  мультифокальной асферической, желтой, гидрофильной,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Diffractiva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aFY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HumanOptics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MX-8/1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с аддидацией+1,5Д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LentisComfortLS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-313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15,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Teleon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(Германия)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MX-8/2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82000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  ИОЛ  мультифокальной торической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IQPanOptix Toric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SND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1-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SND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6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  ИОЛ мультифокальной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Acrysof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IQ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PanOptixTFNT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  «Алкон» (США)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мультифокальной с аддидацией+3Д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LENTISMplusLS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-313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MF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30,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Teleon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(Германия)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МХ-10/1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с расширенным фокусом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EdofAcrySofIQVivityDFT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015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МХ-10/2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118000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с расширенным фокусом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EdofAcrySofIQVivityToricDFT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3/4/515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 -10/3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158500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с расширенным диапазоном фокуса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TECHISSymfony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Johnson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&amp;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Johnson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, США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 -10/4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125000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ИОЛ с расширенным диапазоном фокуса TECHIS Symfony, торическая, Johnson&amp;Johnson, США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 -10/5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торическая LENTIS Comfort Toric  LS-313 MF15 T0-T6, Германия,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Teleon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(Германия)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 -10/6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 торическая LENTIS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MPlus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LS-313 MF30 T0-T6, Германия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МХ-10/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152500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Факоэмульсификация с имплантацией ИОЛ Rayner RayOne Trifocal, Великобритания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МХ-20/2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115000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Факоэмульсификация с имплантацией ИОЛ Rayner RayOne Trifocal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Toric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, Великобритания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МХ-20/3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</w:rPr>
              <w:t>А16.26.093.002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  <w:t>ПРОЧИЕ ОПЕРАЦИИ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Непроникающая глубокая склерэктомия с дренированием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(антиглаукоматознаяоперация при первичной глаукоме)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МХ-11/1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А16.26.117.001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Непроникающая глубокая  склерэктомия при сочетании с факоэмульсификацией с имплантацией ИОЛ (к общей стоимости операции МХ-2 -10)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color w:val="000000" w:themeColor="text1"/>
                <w:sz w:val="20"/>
                <w:szCs w:val="20"/>
              </w:rPr>
              <w:t>А16.26.093.002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А16.26.117.001</w:t>
            </w:r>
          </w:p>
        </w:tc>
      </w:tr>
      <w:tr>
        <w:trPr>
          <w:trHeight w:val="20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Имплантация обтуратора слезной точки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постоянный силиконовый окклюдер слезных точек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ParasolQuickloadSmall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(1 пара/ 2 точки)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МХ-12/1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16.26.007.003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птеригиума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А16.26.044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Снятие роговичных швов  1 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А16.26.137</w:t>
            </w:r>
          </w:p>
        </w:tc>
      </w:tr>
      <w:tr>
        <w:trPr>
          <w:trHeight w:val="37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халязиона ,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МХ-15/3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А16.26.013</w:t>
            </w:r>
          </w:p>
        </w:tc>
      </w:tr>
      <w:tr>
        <w:trPr>
          <w:trHeight w:val="221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халязиона (множественные)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МХ-15/4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А16.26.013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новообразования век 1 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МХ-15/1/1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А16.26.025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новообразования век  (множественные) 1 глаз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МХ-15/1/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9000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А16.26.025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Вскрытие малых ретенционных кист век и конъюнктивы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МХ-15/2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А16.26.014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Удаление инородного тела роговицы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А16.26.051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Репозиция с подшиванием  ИОЛ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А16.26.094.001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Устранение энтропиона или эктропиона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А16.26.020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shd w:fill="FFFFFF" w:val="clear"/>
              </w:rPr>
              <w:t>Коррекция блефарохалязиса 1 веко 1 категории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МХ-19/1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A16.26.022</w:t>
            </w:r>
          </w:p>
        </w:tc>
      </w:tr>
      <w:tr>
        <w:trPr>
          <w:trHeight w:val="237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shd w:fill="FFFFFF" w:val="clear"/>
              </w:rPr>
              <w:t>Коррекция блефарохалязиса 1 веко 2 категории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МХ-19/2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A16.26.022</w:t>
            </w:r>
          </w:p>
        </w:tc>
      </w:tr>
      <w:tr>
        <w:trPr>
          <w:trHeight w:val="225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  <w:shd w:fill="FFFFFF" w:val="clear"/>
              </w:rPr>
              <w:t>Коррекция блефарохалязиса 1 веко 3 категории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МХ-19/3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3"/>
              <w:widowControl w:val="fals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A16.26.022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  <w:t>ЛАЗЕРнОе, электро , фотолечение и физиолечение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Кросслинкинг роговичного коллагена с использованием УФ излучения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классический, 1 глаз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А22.26.031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Кросслинкинг роговичного коллагена с использованием УФ излучения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трансэпителиальный, 1 глаз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Т-2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А22.26.031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Электростимуляция зрительного нерва (10 сеансов)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А17.26.003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Цветоимпульсная терапия(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Меллон 2, 1сеанс)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Т-3/1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22.30.002.001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Низкочастотная магнитотерапия на орган зрения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Амо-атос с приставкой "Амблио-1", 1сеанс)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Т-3/2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17.26.002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Лазерная стимуляция цилиарной мышцы (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МАКДЭЛ 09, 1сеанс)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Т-3/3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22.26.021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Электростимуляция зрительного нерва (10 сеансов) для  пациентов после лазерной коррекции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А17.26.003</w:t>
            </w:r>
          </w:p>
        </w:tc>
      </w:tr>
      <w:tr>
        <w:trPr/>
        <w:tc>
          <w:tcPr>
            <w:tcW w:w="6240" w:type="dxa"/>
            <w:tcBorders>
              <w:top w:val="dashed" w:sz="4" w:space="0" w:color="000080"/>
              <w:left w:val="dashed" w:sz="4" w:space="0" w:color="000080"/>
              <w:bottom w:val="dashed" w:sz="4" w:space="0" w:color="000080"/>
              <w:right w:val="dashed" w:sz="4" w:space="0" w:color="000080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  <w:t>лазерная деструкция новообразований сетчатки, век, конъюктивы, сосудистой оболочки глаза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А22.26.011</w:t>
            </w:r>
          </w:p>
        </w:tc>
      </w:tr>
      <w:tr>
        <w:trPr/>
        <w:tc>
          <w:tcPr>
            <w:tcW w:w="6240" w:type="dxa"/>
            <w:tcBorders>
              <w:top w:val="dashed" w:sz="4" w:space="0" w:color="000080"/>
              <w:left w:val="dashed" w:sz="4" w:space="0" w:color="000080"/>
              <w:bottom w:val="dashed" w:sz="4" w:space="0" w:color="000080"/>
              <w:right w:val="dashed" w:sz="4" w:space="0" w:color="00008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лазерная деструкция новообразований век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1 категория сложности – диаметр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точки воздействия до 3мм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Т-5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А22.26.011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лазерная деструкция новообразований век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2 категория сложности – диаметр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точек воздействия до 3мм, кол-во точек воздействия до 3-х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Т-6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А22.26.011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лазерная деструкция новообразований век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3 категория сложности – диаметр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точек  воздействия более 3 мм, кол-во точек воздействия более 3-х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Т-7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А22.26.011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</w:r>
          </w:p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  <w:t>ЛАЗЕРНАЯ  КОАГУЛЯЦИЯ (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Лечение на диодном лазере 532 нм)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Фокальная лазерная коагуляция глазного дна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Т-9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А22.26.009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Секторальная лазеркоагуляция сетчатки 1 категории (НПЛК до 2-х квадрантов)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Т-10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bookmarkStart w:id="1" w:name="__DdeLink__5201_1704579908"/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</w:t>
            </w:r>
            <w:bookmarkEnd w:id="1"/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Секторальная лазеркоагуляция сетчатки 2 категории (ППЛК более 2-х квадрантов)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Т-10/1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А22.26.029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Панретинальная лазеркоагуляция ПРЛК, 1 сеанс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Т-11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А22.26.010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  <w:t>YAG – ЛАЗЕРНЫЕ ОПЕРАЦИИ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themeFill="accent5" w:themeFillTint="33" w:val="clear"/>
          </w:tcPr>
          <w:p>
            <w:pPr>
              <w:pStyle w:val="311"/>
              <w:widowControl w:val="false"/>
              <w:spacing w:before="0" w:after="0"/>
              <w:ind w:firstLine="851"/>
              <w:textAlignment w:val="baseline"/>
              <w:rPr>
                <w:rFonts w:ascii="Times New Roman" w:hAnsi="Times New Roman" w:cs="Times New Roman"/>
                <w:bCs w:val="false"/>
                <w:cap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ap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Лазерная иридэктомия (лечение закрытоугольной глаукомы)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Т-12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А22.26.005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Лазерная дисцизия задней капсулы хрусталика (вторичная катаракта)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Т-13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А22.26.004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Лазерная гониодесцеметопунктура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Т-14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А22.26.019</w:t>
            </w:r>
          </w:p>
        </w:tc>
      </w:tr>
      <w:tr>
        <w:trPr/>
        <w:tc>
          <w:tcPr>
            <w:tcW w:w="624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Лазерный синехиолизис</w:t>
            </w:r>
          </w:p>
        </w:tc>
        <w:tc>
          <w:tcPr>
            <w:tcW w:w="1183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Т-15</w:t>
            </w:r>
          </w:p>
        </w:tc>
        <w:tc>
          <w:tcPr>
            <w:tcW w:w="79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70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А22.26.020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АППАРАТНОЕ ЛЕЧЕНИЕ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851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DAEEF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 16.26.110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Стимуляция нормальной функции желтого пятна сетчатки (плеоптическое лечение):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Амблиотрон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А-1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А16.26.110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Упражнения для тренировки цилиарной мышцы глаза: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Ручеёк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А-2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А19.26.002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Упражнения для тренировки цилиарной мышцы глаза: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Визотроник МЗ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А-3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А19.26.002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Упражнения для восстановления и укрепления бинокулярного зрения: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Синоптофор МГ-1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А-4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А19.26.001</w:t>
            </w:r>
          </w:p>
        </w:tc>
      </w:tr>
      <w:tr>
        <w:trPr/>
        <w:tc>
          <w:tcPr>
            <w:tcW w:w="624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Упражнения для восстановления и укрепления бинокулярного зрения: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Форбис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А-5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А19.26.001</w:t>
            </w:r>
          </w:p>
        </w:tc>
      </w:tr>
      <w:tr>
        <w:trPr>
          <w:trHeight w:val="266" w:hRule="atLeast"/>
        </w:trPr>
        <w:tc>
          <w:tcPr>
            <w:tcW w:w="9921" w:type="dxa"/>
            <w:gridSpan w:val="4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C0E4E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ЛАБОРАТОРНАЯ ДИАГНОСТИКА(ГПКЛ) при диагнозе:</w:t>
            </w:r>
          </w:p>
        </w:tc>
      </w:tr>
      <w:tr>
        <w:trPr>
          <w:trHeight w:val="1071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Комплекс «катаракта с ОАМ» (общий анализ крови, общий анализ мочи, коагулаграмма, сахар крови, билирубин, мочевина, креатинин, общий белок, АЛТ, АСТ, электролиты крови- калий, натрий, хлор, анализ крови на гепатит В, С, ВИЧ, сифилис)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01-001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В03.016.003/В03.016.006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В03.005.006/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В03.016.004/А26.06.036/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А26.06.041/А26.06.048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А26.06.133/А26.06.082.00</w:t>
            </w:r>
          </w:p>
        </w:tc>
      </w:tr>
      <w:tr>
        <w:trPr>
          <w:trHeight w:val="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Комплекс «катаракта без ОАМ» (общий анализ крови, общий анализ мочи, коагулаграмма, сахар крови, билирубин, мочевина, креатинин, общий белок, АЛТ, АСТ, электролиты крови- калий, натрий, хлор, анализ крови на гепатит В, С, ВИЧ, сифилис)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01-001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В03.016.003/В03.005.006/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В03.016.004/В03.016.004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В03.016.004/А26.06.036/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041/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А26.06.133/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82.002</w:t>
            </w:r>
          </w:p>
        </w:tc>
      </w:tr>
      <w:tr>
        <w:trPr>
          <w:trHeight w:val="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Комплекс «лазерная коррекция» (анализы на гепатит В, С, ВИЧ, сифилис) ЛД 07-025 , ЛД 07-009, ЛД 07-032, ЛД 07-102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40-117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А26.06.036/А26.06.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041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А26.06.133/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82.002</w:t>
            </w:r>
          </w:p>
        </w:tc>
      </w:tr>
      <w:tr>
        <w:trPr>
          <w:trHeight w:val="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Общий (клинический) анализ крови развернутый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(общий анализ, лейкоцитарная формула, СОЭ,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микроскопия мазка крови)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02-043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В03.016.003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Общий (клинический) анализ мочи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 микроскопией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02-006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В03.016.006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Коагулограмма (</w:t>
            </w: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ориентировочное исследование системы гемостаза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03-007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В03.005.006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Глюкоза в плазме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06-015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Билирубин общий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06-036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Мочевина в сыворотке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06-034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Креатинин в сыворотке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06-021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Общий белок в сыворотке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06-035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АЛТ (Аланинаминотрансфераза)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06-003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319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АСТ (Аспартатаминотрансфераза)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06-010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Элетролиты (калий, натрий, хлор) в сыворотке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06-019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 крови биохимический общетерапевтический: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С-реактивный белок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ЛД-06-182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антигена (HbsAg) вируса гепатита B (Hepatitis B virus)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7-025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А26.06.036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вирусу гепатиту C (Hepatitis C virus)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7-009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>Определение антител классов M, G (IgM, IgG) к вирусу иммунодефицита человека ВИЧ-1 и ВИЧ-2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07-032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07-102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07-013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А26.06.018.001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07-014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А26.06.018.003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07-015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А26.06.018.002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цитомегаловирусу (Cytomegalovirus) в крови,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IgG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07-017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цитомегаловирусу (Cytomegalovirus) в крови,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IgМ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07-018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цитомегаловирусу (Cytomegalovirus) в крови,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авидности IgG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07-160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Определение антител к вирусу Эпштейна-Барра (Epstein-Barr virus) в крови: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капсидный белок (VCA), IgM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07-020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А26.06.028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 вирусу Эпштейна-Барра (Epstein-Barr virus) в крови,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ранние антигены (EA), IgG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07-021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А26.06.028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Определение антител к вирусу Эпштейна-Барра (Epstein-Barr virus) в крови,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авидность IgG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07-161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А26.06.028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G (IgG) к ядерному антигену (NA) вируса Эпштейна-Барр (Epstein-Barr virus) в крови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(количественно)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07-022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А26.06.031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G (IgG) к вирусу простого герпеса 1, 2 типа (Herpes simplex virus 1,2)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07-030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ЛД07-031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А26.06.045.003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Определение антител класса G (IgG) к вирусу простого герпеса 1, 2 типа (Herpes simplex virus 1, 2) в крови, авидность  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07-162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А26.06.045.001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G (IgG) к вирусу ветряной оспы и опоясывающего лишая (Varicella-Zoster virus)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07-054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А26.06.084.001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M (IgM) к вирусу ветряной оспы и опоясывающего лишая (Varicella-Zoster virus)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07-055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А26.06.084.002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07-044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26.06.081.001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07-046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26.06.081.002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Исследование уровня общего иммуноглобулина E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08-017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А09.05.054.001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284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Исследование уровня тиреотропного гормона (ТТГ)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08-118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А09.05.065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Исследование уровня общего тироксина (Т4) сыворотки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08-116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А09.05.064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Исследование уровня общего трийодтиронина (Т3) в крови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08-114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А09.05.060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Молекулярно-биологическое исследование отделяемого конъюнктивы на аденовирус (Adenovirus),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метод иммунофлюоресценция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10-034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А26.26.013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Молекулярно-биологическое исследование отделяемого конъюнктивы на вирус простого герпеса 1 и 2 типов (Herpes simplex virus types 1, 2),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метод иммунофлюоресценция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10-033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А26.26.012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Исследование уровня иммуноглобулинов в крови: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Ревматоидный фактор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13-020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А09.05.054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 xml:space="preserve">Исследование уровня иммуноглобулинов в крови: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Антиперинуклеарный фактор, IgG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13-048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А09.05.054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Общий (клинический) анализ крови развернутый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iCs/>
                <w:color w:val="000000" w:themeColor="text1"/>
                <w:sz w:val="20"/>
                <w:szCs w:val="20"/>
              </w:rPr>
              <w:t>Анализ крови биохимический общетерапевтический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40-063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В03.016.004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Панель тестов "TORCH-антитела" (Иммуноглобулины класса М и G к токсоплазме, вирусу простого герпеса, краснухи, цитомегаловирусу)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40-035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А26.06.071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А26.06.021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А26.06.045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 26.06.081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Микроскопическое исследование соскоба с кожи на клещей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Demodex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02-034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А26.01.018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 10-038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А26.26.001</w:t>
            </w:r>
          </w:p>
        </w:tc>
      </w:tr>
      <w:tr>
        <w:trPr>
          <w:trHeight w:val="266" w:hRule="atLeast"/>
        </w:trPr>
        <w:tc>
          <w:tcPr>
            <w:tcW w:w="624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0"/>
                <w:szCs w:val="20"/>
              </w:rP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  <w:tc>
          <w:tcPr>
            <w:tcW w:w="1183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ЛД-12-061</w:t>
            </w:r>
          </w:p>
        </w:tc>
        <w:tc>
          <w:tcPr>
            <w:tcW w:w="790" w:type="dxa"/>
            <w:tcBorders>
              <w:left w:val="dashed" w:sz="4" w:space="0" w:color="4F81BD"/>
              <w:bottom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708" w:type="dxa"/>
            <w:tcBorders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А08.01.001.001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64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20c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e26cc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 w:customStyle="1">
    <w:name w:val="Heading 3"/>
    <w:basedOn w:val="Normal"/>
    <w:next w:val="Normal"/>
    <w:uiPriority w:val="99"/>
    <w:qFormat/>
    <w:rsid w:val="005d447d"/>
    <w:pPr>
      <w:keepNext w:val="true"/>
      <w:keepLines/>
      <w:suppressAutoHyphens w:val="true"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20c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26cc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636b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1">
    <w:name w:val="Интернет-ссылка"/>
    <w:basedOn w:val="DefaultParagraphFont"/>
    <w:uiPriority w:val="99"/>
    <w:semiHidden/>
    <w:unhideWhenUsed/>
    <w:qFormat/>
    <w:rsid w:val="00675e22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37582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8"/>
    <w:uiPriority w:val="99"/>
    <w:semiHidden/>
    <w:qFormat/>
    <w:rsid w:val="005d447d"/>
    <w:rPr>
      <w:rFonts w:ascii="Times New Roman" w:hAnsi="Times New Roman" w:eastAsia="Times New Roman" w:cs="Times New Roman"/>
      <w:sz w:val="20"/>
      <w:szCs w:val="20"/>
    </w:rPr>
  </w:style>
  <w:style w:type="character" w:styleId="Style14" w:customStyle="1">
    <w:name w:val="Название Знак"/>
    <w:basedOn w:val="DefaultParagraphFont"/>
    <w:link w:val="aa"/>
    <w:uiPriority w:val="10"/>
    <w:qFormat/>
    <w:rsid w:val="005d447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5" w:customStyle="1">
    <w:name w:val="Подзаголовок Знак"/>
    <w:basedOn w:val="DefaultParagraphFont"/>
    <w:link w:val="ac"/>
    <w:uiPriority w:val="11"/>
    <w:qFormat/>
    <w:rsid w:val="005d447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4" w:customStyle="1">
    <w:name w:val="Верхний колонтитул Знак4"/>
    <w:basedOn w:val="DefaultParagraphFont"/>
    <w:link w:val="Header"/>
    <w:uiPriority w:val="99"/>
    <w:qFormat/>
    <w:locked/>
    <w:rsid w:val="005d447d"/>
    <w:rPr>
      <w:rFonts w:eastAsia="Times New Roman"/>
    </w:rPr>
  </w:style>
  <w:style w:type="character" w:styleId="Ngbinding" w:customStyle="1">
    <w:name w:val="ng-binding"/>
    <w:basedOn w:val="DefaultParagraphFont"/>
    <w:qFormat/>
    <w:rsid w:val="005d447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unhideWhenUsed/>
    <w:qFormat/>
    <w:rsid w:val="005d447d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0"/>
      <w:szCs w:val="2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3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296da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96da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link w:val="a9"/>
    <w:uiPriority w:val="10"/>
    <w:qFormat/>
    <w:rsid w:val="005d447d"/>
    <w:pPr>
      <w:pBdr>
        <w:bottom w:val="single" w:sz="8" w:space="4" w:color="4F81BD"/>
      </w:pBdr>
      <w:suppressAutoHyphens w:val="tru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2">
    <w:name w:val="Subtitle"/>
    <w:basedOn w:val="Normal"/>
    <w:link w:val="ab"/>
    <w:uiPriority w:val="11"/>
    <w:qFormat/>
    <w:rsid w:val="005d447d"/>
    <w:pPr>
      <w:suppressAutoHyphens w:val="true"/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link w:val="4"/>
    <w:uiPriority w:val="99"/>
    <w:qFormat/>
    <w:rsid w:val="005d447d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qFormat/>
    <w:rsid w:val="005d44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11" w:customStyle="1">
    <w:name w:val="Заголовок 31"/>
    <w:basedOn w:val="Normal"/>
    <w:uiPriority w:val="99"/>
    <w:qFormat/>
    <w:rsid w:val="005d447d"/>
    <w:pPr>
      <w:keepNext w:val="true"/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27d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Application>LibreOffice/7.0.0.3$Windows_X86_64 LibreOffice_project/8061b3e9204bef6b321a21033174034a5e2ea88e</Application>
  <Pages>11</Pages>
  <Words>3467</Words>
  <Characters>25395</Characters>
  <CharactersWithSpaces>28110</CharactersWithSpaces>
  <Paragraphs>980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2020-06-25T05:56:00Z</dcterms:created>
  <dc:creator>user01</dc:creator>
  <dc:description/>
  <dc:language>ru-RU</dc:language>
  <cp:lastModifiedBy/>
  <cp:lastPrinted>2023-08-30T04:39:00Z</cp:lastPrinted>
  <dcterms:modified xsi:type="dcterms:W3CDTF">2023-09-06T15:17:09Z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